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32A3EE">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6DCF91D0">
      <w:pPr>
        <w:spacing w:line="540" w:lineRule="exact"/>
        <w:jc w:val="center"/>
        <w:rPr>
          <w:rFonts w:ascii="华文中宋" w:hAnsi="华文中宋" w:eastAsia="华文中宋" w:cs="宋体"/>
          <w:b/>
          <w:kern w:val="0"/>
          <w:sz w:val="52"/>
          <w:szCs w:val="52"/>
        </w:rPr>
      </w:pPr>
    </w:p>
    <w:p w14:paraId="29892C3A">
      <w:pPr>
        <w:spacing w:line="540" w:lineRule="exact"/>
        <w:jc w:val="center"/>
        <w:rPr>
          <w:rFonts w:ascii="华文中宋" w:hAnsi="华文中宋" w:eastAsia="华文中宋" w:cs="宋体"/>
          <w:b/>
          <w:kern w:val="0"/>
          <w:sz w:val="52"/>
          <w:szCs w:val="52"/>
        </w:rPr>
      </w:pPr>
    </w:p>
    <w:p w14:paraId="0AF0F60B">
      <w:pPr>
        <w:spacing w:line="540" w:lineRule="exact"/>
        <w:jc w:val="center"/>
        <w:rPr>
          <w:rFonts w:ascii="华文中宋" w:hAnsi="华文中宋" w:eastAsia="华文中宋" w:cs="宋体"/>
          <w:b/>
          <w:kern w:val="0"/>
          <w:sz w:val="52"/>
          <w:szCs w:val="52"/>
        </w:rPr>
      </w:pPr>
    </w:p>
    <w:p w14:paraId="0BE0DD72">
      <w:pPr>
        <w:spacing w:line="540" w:lineRule="exact"/>
        <w:jc w:val="center"/>
        <w:rPr>
          <w:rFonts w:ascii="华文中宋" w:hAnsi="华文中宋" w:eastAsia="华文中宋" w:cs="宋体"/>
          <w:b/>
          <w:kern w:val="0"/>
          <w:sz w:val="52"/>
          <w:szCs w:val="52"/>
        </w:rPr>
      </w:pPr>
    </w:p>
    <w:p w14:paraId="307F90EF">
      <w:pPr>
        <w:spacing w:line="540" w:lineRule="exact"/>
        <w:jc w:val="center"/>
        <w:rPr>
          <w:rFonts w:ascii="华文中宋" w:hAnsi="华文中宋" w:eastAsia="华文中宋" w:cs="宋体"/>
          <w:b/>
          <w:kern w:val="0"/>
          <w:sz w:val="52"/>
          <w:szCs w:val="52"/>
        </w:rPr>
      </w:pPr>
    </w:p>
    <w:p w14:paraId="178A7CF6">
      <w:pPr>
        <w:spacing w:line="540" w:lineRule="exact"/>
        <w:jc w:val="center"/>
        <w:rPr>
          <w:rFonts w:ascii="华文中宋" w:hAnsi="华文中宋" w:eastAsia="华文中宋" w:cs="宋体"/>
          <w:b/>
          <w:kern w:val="0"/>
          <w:sz w:val="52"/>
          <w:szCs w:val="52"/>
        </w:rPr>
      </w:pPr>
    </w:p>
    <w:p w14:paraId="0AAD0A6B">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3FEEC48A">
      <w:pPr>
        <w:spacing w:line="540" w:lineRule="exact"/>
        <w:jc w:val="center"/>
        <w:rPr>
          <w:rFonts w:ascii="华文中宋" w:hAnsi="华文中宋" w:eastAsia="华文中宋" w:cs="宋体"/>
          <w:b/>
          <w:kern w:val="0"/>
          <w:sz w:val="52"/>
          <w:szCs w:val="52"/>
        </w:rPr>
      </w:pPr>
    </w:p>
    <w:p w14:paraId="3FA0C8EF">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Style w:val="18"/>
          <w:rFonts w:hint="eastAsia" w:ascii="楷体" w:hAnsi="楷体" w:eastAsia="楷体"/>
          <w:spacing w:val="-4"/>
          <w:sz w:val="32"/>
          <w:szCs w:val="32"/>
        </w:rPr>
        <w:t>2023</w:t>
      </w:r>
      <w:r>
        <w:rPr>
          <w:rFonts w:hint="eastAsia" w:hAnsi="宋体" w:eastAsia="仿宋_GB2312" w:cs="宋体"/>
          <w:kern w:val="0"/>
          <w:sz w:val="36"/>
          <w:szCs w:val="36"/>
        </w:rPr>
        <w:t>年度）</w:t>
      </w:r>
    </w:p>
    <w:p w14:paraId="58D2788C">
      <w:pPr>
        <w:spacing w:line="540" w:lineRule="exact"/>
        <w:jc w:val="center"/>
        <w:rPr>
          <w:rFonts w:hAnsi="宋体" w:eastAsia="仿宋_GB2312" w:cs="宋体"/>
          <w:kern w:val="0"/>
          <w:sz w:val="30"/>
          <w:szCs w:val="30"/>
        </w:rPr>
      </w:pPr>
    </w:p>
    <w:p w14:paraId="00482887">
      <w:pPr>
        <w:spacing w:line="540" w:lineRule="exact"/>
        <w:jc w:val="center"/>
        <w:rPr>
          <w:rFonts w:hAnsi="宋体" w:eastAsia="仿宋_GB2312" w:cs="宋体"/>
          <w:kern w:val="0"/>
          <w:sz w:val="30"/>
          <w:szCs w:val="30"/>
        </w:rPr>
      </w:pPr>
    </w:p>
    <w:p w14:paraId="3D337F5A">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14:paraId="5E6171EB">
      <w:pPr>
        <w:spacing w:line="540" w:lineRule="exact"/>
        <w:jc w:val="center"/>
        <w:rPr>
          <w:rFonts w:hAnsi="宋体" w:eastAsia="仿宋_GB2312" w:cs="宋体"/>
          <w:kern w:val="0"/>
          <w:sz w:val="30"/>
          <w:szCs w:val="30"/>
        </w:rPr>
      </w:pPr>
    </w:p>
    <w:p w14:paraId="6BDD4A3E">
      <w:pPr>
        <w:spacing w:line="540" w:lineRule="exact"/>
        <w:jc w:val="center"/>
        <w:rPr>
          <w:rFonts w:hAnsi="宋体" w:eastAsia="仿宋_GB2312" w:cs="宋体"/>
          <w:kern w:val="0"/>
          <w:sz w:val="30"/>
          <w:szCs w:val="30"/>
        </w:rPr>
      </w:pPr>
    </w:p>
    <w:p w14:paraId="6293FD1F">
      <w:pPr>
        <w:spacing w:line="540" w:lineRule="exact"/>
        <w:jc w:val="center"/>
        <w:rPr>
          <w:rFonts w:hAnsi="宋体" w:eastAsia="仿宋_GB2312" w:cs="宋体"/>
          <w:kern w:val="0"/>
          <w:sz w:val="30"/>
          <w:szCs w:val="30"/>
        </w:rPr>
      </w:pPr>
    </w:p>
    <w:p w14:paraId="764A4E1E">
      <w:pPr>
        <w:spacing w:line="540" w:lineRule="exact"/>
        <w:rPr>
          <w:rFonts w:hAnsi="宋体" w:eastAsia="仿宋_GB2312" w:cs="宋体"/>
          <w:kern w:val="0"/>
          <w:sz w:val="30"/>
          <w:szCs w:val="30"/>
        </w:rPr>
      </w:pPr>
    </w:p>
    <w:p w14:paraId="56584408">
      <w:pPr>
        <w:spacing w:line="700" w:lineRule="exact"/>
        <w:jc w:val="left"/>
        <w:rPr>
          <w:rFonts w:hAnsi="宋体" w:eastAsia="仿宋_GB2312" w:cs="宋体"/>
          <w:kern w:val="0"/>
          <w:sz w:val="36"/>
          <w:szCs w:val="36"/>
        </w:rPr>
      </w:pPr>
    </w:p>
    <w:p w14:paraId="6DF2F6BD">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金沟河农产品深加工区沙温线改造工程项目耕地占用税</w:t>
      </w:r>
    </w:p>
    <w:p w14:paraId="3D70283D">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实施单位（公章）：</w:t>
      </w:r>
      <w:r>
        <w:rPr>
          <w:rStyle w:val="18"/>
          <w:rFonts w:hint="eastAsia" w:ascii="楷体" w:hAnsi="楷体" w:eastAsia="楷体"/>
          <w:spacing w:val="-4"/>
          <w:sz w:val="28"/>
          <w:szCs w:val="28"/>
        </w:rPr>
        <w:t>塔城地区沙湾工业园区管理委员会</w:t>
      </w:r>
    </w:p>
    <w:p w14:paraId="6B14605A">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塔城地区沙湾工业园区管理委员会</w:t>
      </w:r>
    </w:p>
    <w:p w14:paraId="2BCAF5EE">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赵永强</w:t>
      </w:r>
    </w:p>
    <w:p w14:paraId="0D78A850">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2024年04月29日</w:t>
      </w:r>
    </w:p>
    <w:p w14:paraId="2258202C">
      <w:pPr>
        <w:spacing w:line="700" w:lineRule="exact"/>
        <w:ind w:firstLine="708" w:firstLineChars="236"/>
        <w:jc w:val="left"/>
        <w:rPr>
          <w:rFonts w:hAnsi="宋体" w:eastAsia="仿宋_GB2312" w:cs="宋体"/>
          <w:kern w:val="0"/>
          <w:sz w:val="30"/>
          <w:szCs w:val="30"/>
        </w:rPr>
      </w:pPr>
    </w:p>
    <w:p w14:paraId="6C4A47BE">
      <w:pPr>
        <w:spacing w:line="540" w:lineRule="exact"/>
        <w:rPr>
          <w:rStyle w:val="18"/>
          <w:rFonts w:ascii="黑体" w:hAnsi="黑体" w:eastAsia="黑体"/>
          <w:b w:val="0"/>
          <w:spacing w:val="-4"/>
          <w:sz w:val="32"/>
          <w:szCs w:val="32"/>
        </w:rPr>
      </w:pPr>
    </w:p>
    <w:p w14:paraId="6230F57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14:paraId="4233E70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14:paraId="231C1EA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新疆沙湾工业园区，是以农副产品加工为龙头，带动食品、纺织及轻工产业加工等区域优势产业的发展壮大，同时相关产业的发展壮大又可以支撑园区的发展。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由于原沙温线在金沟河农产品精深加工区园区范围内交通压力过大，部分路面已破损，出现奎包、车辙、盐胀、翻浆、纵向裂缝等病害，桥梁荷载等级不足。随着时间的推移，道路的病害有进一步发展的趋势，进而降低了该路段的服务水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因此，沙温线在园区范围内需要建设一条新的高标准道路，以缓解日益紧迫的交通需求压力，改善项目区交通条件，为经济发展提高有力支持。</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2023年，塔城地区沙湾工业园区管理委员会根据沙湾市自然资源局2023年009号《关于办理占用耕地手续通知书》，积极开展了金沟河农产品深加工区沙温线改造工程项目耕地占用税项目，以解决金沟河农产品深加工区沙温线改造工程项目实施过程中存在的问题为导向，以千方百计解决该项目实施过程中存在的问题</w:t>
      </w:r>
      <w:r>
        <w:rPr>
          <w:rStyle w:val="18"/>
          <w:rFonts w:hint="eastAsia" w:ascii="楷体" w:hAnsi="楷体" w:eastAsia="楷体"/>
          <w:spacing w:val="-4"/>
          <w:sz w:val="32"/>
          <w:szCs w:val="32"/>
          <w:lang w:eastAsia="zh-CN"/>
        </w:rPr>
        <w:t>为目的</w:t>
      </w:r>
      <w:r>
        <w:rPr>
          <w:rStyle w:val="18"/>
          <w:rFonts w:hint="eastAsia" w:ascii="楷体" w:hAnsi="楷体" w:eastAsia="楷体"/>
          <w:spacing w:val="-4"/>
          <w:sz w:val="32"/>
          <w:szCs w:val="32"/>
        </w:rPr>
        <w:t>，及时协调解决项目实施过程中存在的问题。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2.项目主要内容及实施情况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主要内容为：根据沙湾市自然资源局2023年009号《关于办理占用耕地手续通知书》要求，本项目实施内容为：（1）支付63.48万元；（2）项目完成占用耕地、草地、农用地面积76900平方米，缴纳滞纳金笔数1笔，其中：占用耕地、草地、农用地金额48.63万元，缴纳滞纳金金额14.85万元。（3）通过项目实施，旨在加快园区基础设施建设，有效提升园区招商引资吸引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本项目于2023年8月开始实施，</w:t>
      </w:r>
      <w:r>
        <w:rPr>
          <w:rStyle w:val="18"/>
          <w:rFonts w:hint="eastAsia" w:ascii="楷体" w:hAnsi="楷体" w:eastAsia="楷体"/>
          <w:spacing w:val="-4"/>
          <w:sz w:val="32"/>
          <w:szCs w:val="32"/>
          <w:lang w:eastAsia="zh-CN"/>
        </w:rPr>
        <w:t>截至</w:t>
      </w:r>
      <w:r>
        <w:rPr>
          <w:rStyle w:val="18"/>
          <w:rFonts w:hint="eastAsia" w:ascii="楷体" w:hAnsi="楷体" w:eastAsia="楷体"/>
          <w:spacing w:val="-4"/>
          <w:sz w:val="32"/>
          <w:szCs w:val="32"/>
        </w:rPr>
        <w:t>2023年9月，该项目已实施完成，各项任务指标全部完成。通过本项目的实施，有效解决了金沟河农产品深加工区沙温线改造工程实施过程中存在的问题，提升了园区基础设施建设，增强了园区招商引资吸引力。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3.项目实施主体</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2023年塔城地区金沟河农产品深加工区沙温线改造工程项目耕地占用税项目的实施主体为塔城地区沙湾工业园区管理委员会。</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 资金投入和使用情况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（1）项目资金安排落实、总投入情况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沙湾市财政局《关于拨付金沟河农产品深加工区沙温线改造工程项目耕地占用税的通知》（沙财建〔2023〕02号）文件，金沟河农产品深加工区沙温线改造工程项目耕地占用税项目预算安排资金总额63.48万元，其中财政资金63.48万元、其他资金0万元；2023年实际收到预算资金63.48万元，预算资金到位率为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（2）项目资金实际使用情况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截至2023年12月31日，本项目实际支付资金63.48万元，预算执行率100%。项目资金主要用于支付占用耕地、草地、农用地费用48.63万元、缴纳滞纳金费用14.85万元。</w:t>
      </w:r>
    </w:p>
    <w:p w14:paraId="3E500F54">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14:paraId="176C141B">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金沟河农产品深加工区沙温线改造工程项目耕地占用税项目的设立，是以解决金沟河农产品深加工区沙温线改造工程项目实施过程中存在的问题为导向，以千方百计解决该项目实施过程中存在的问题为目</w:t>
      </w:r>
      <w:r>
        <w:rPr>
          <w:rStyle w:val="18"/>
          <w:rFonts w:hint="eastAsia" w:ascii="楷体" w:hAnsi="楷体" w:eastAsia="楷体"/>
          <w:spacing w:val="-4"/>
          <w:sz w:val="32"/>
          <w:szCs w:val="32"/>
          <w:lang w:eastAsia="zh-CN"/>
        </w:rPr>
        <w:t>的</w:t>
      </w:r>
      <w:r>
        <w:rPr>
          <w:rStyle w:val="18"/>
          <w:rFonts w:hint="eastAsia" w:ascii="楷体" w:hAnsi="楷体" w:eastAsia="楷体"/>
          <w:spacing w:val="-4"/>
          <w:sz w:val="32"/>
          <w:szCs w:val="32"/>
        </w:rPr>
        <w:t>，及时协调解决项目实施过程中存在的问题。全年项目计划实现目标如下：“目标1：“占用耕地、草地、农用地面积7.69万平方米，以解决金沟河农产品深加工区沙温线改造工程项目实施过程中存在的问题为导向，以千方百计解决该项目实施过程中存在的问题</w:t>
      </w:r>
      <w:r>
        <w:rPr>
          <w:rStyle w:val="18"/>
          <w:rFonts w:hint="eastAsia" w:ascii="楷体" w:hAnsi="楷体" w:eastAsia="楷体"/>
          <w:spacing w:val="-4"/>
          <w:sz w:val="32"/>
          <w:szCs w:val="32"/>
          <w:lang w:eastAsia="zh-CN"/>
        </w:rPr>
        <w:t>为目的</w:t>
      </w:r>
      <w:r>
        <w:rPr>
          <w:rStyle w:val="18"/>
          <w:rFonts w:hint="eastAsia" w:ascii="楷体" w:hAnsi="楷体" w:eastAsia="楷体"/>
          <w:spacing w:val="-4"/>
          <w:sz w:val="32"/>
          <w:szCs w:val="32"/>
        </w:rPr>
        <w:t>，及时协调解决项目实施过程中存在的问题目标2:缴纳滞纳金1笔；目标3:占用耕地、草地、农用地金额43.68万元；目标4:缴纳滞纳金金额14.85万元”计划通过本项目的实施，加快金沟河农产品深加工区沙温线改造工程的建设进度，达到加快园区基础设施建设的效果，进一步提升园区招商引资吸引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①数量指标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“占用耕地、草地、农用地面积”指标，预期指标值为“大于等于7.69万平方米”；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“缴纳滞纳金笔数”指标，预期指标值为“等于1笔”；</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②质量指标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“资金支付完成时间”指标，预期指标值为“2023年12月20日前”；</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③时效指标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“资金支付及时率”指标，预期指标值为“等于100%”；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“项目完成时限”指标，预期指标值为“2023年12月20日前”。</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（1）项目成本指标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①经济成本指标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“占用耕地、草地、农用地金额”指标，预期指标值为“小于等于48.63万元”；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“缴纳滞纳金金额”指标，预期指标值为“小于等于14.85万元”。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②社会效益指标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“加快园区基础设施建设”指标，预期指标值为“有效加快”；</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③生态效益指标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（4）相关满意度目标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“受益人群满意度”指标，预期指标值为“大于等于95%”。</w:t>
      </w:r>
    </w:p>
    <w:p w14:paraId="3429CAB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14:paraId="3DFFEB83">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14:paraId="2CD1E875">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1.绩效评价的目的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2.绩效评价的对象和范围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金沟河农产品深加工区沙温线改造工程项目耕地占用税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1DA1CA2C">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14:paraId="5065A4E3">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金沟河农产品深加工区沙温线改造工程项目耕地占用税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根据以上原则，绩效评价遵循如下具体要求：</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（2）保证评价结果的真实性、公正性，提高评价报告的公信力。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2.绩效评价指标体系及绩效评价标准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一级指标为：决策、过程、产出、成本、效益。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二级指标为：项目立项、绩效目标、资金投入、资金管理、组织实施、产出数量、产出质量、产出时效、经济成本、项目效益。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082168A8">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14:paraId="13BFEC87">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第一阶段：前期准备。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赵永强任评价组组长，绩效评价工作职责为检查项目绩效指标完成情况、审定项目支出绩效评价结果及项目支出绩效评价报告。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李建国任评价组副组长，绩效评价工作职责为组织和协调项目工作人员采取实地调查、资料检查等方式，核实项目绩效指标完成情况；组织受益对象对项目工作进行评价等。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杜玉霞任评价组成员，绩效评价工作职责为做好项目支出绩效评价工作的沟通协调工作，对项目实施情况进行实地调查，编写项目支出绩效评价报告。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第二阶段：组织实施。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经评价组通过实地调研、查阅资料等方式，采用综合分析法对项目的决策、管理、绩效进行的综合评价分析。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第三阶段：分析评价。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第四阶段：撰写与提交评价报告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项目撰写绩效评价报告，按照财政局大平台绩效系统中统一格式和文本框架撰写绩效评价报告。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第五阶段：归集档案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建立和落实档案管理制度，将项目相关资料存档，包括但不限于：评价项目基本情况和相关文件、评价实施方案、项目支付资料等相关档案。</w:t>
      </w:r>
    </w:p>
    <w:p w14:paraId="0DCB633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14:paraId="36EA637A">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14:paraId="303BD88B">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金沟河农产品深加工区沙温线改造工程项目耕地占用税项目的实施，解决了金沟河农产品深加工区沙温线改造工程项目耕地占用税问题，实现了社会效益，该项目预算执行率达100%，项目预期绩效目标及各项具体指标均已全部达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（二）综合评价结论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采取定量与定性评价相结合的方式，对金沟河农产品深加工区沙温线改造工程项目耕地占用税项目的绩效目标和各项具体绩效指标实现情况进行了客观评价，最终评分为100分。绩效评级为“优”，具体得分情况为：项目决策15分、项目过程15分、项目产出40分、项目效益20分、项目满意度10分。</w:t>
      </w:r>
    </w:p>
    <w:p w14:paraId="1129598F">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14:paraId="370AABB5">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项目决策类指标从项目立项、绩效目标和资金投入三个方面评价项目前期准备工作，权重分值为 15 分，本项目实际得分15分，得分率为100%。具体各项指标得分如下：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本项目是由塔城地区沙湾工业园区管理委员会提出申报，于2014年4月批复设立，2014年我单位根据沙发改字【2014】108号文件要求组织实施该项目。项目立项符合国家法律法规、自治区和地区行业发展规划和政策要求，属于本部门履职所需。根据评分标准，该指标2.5分，得2.5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2.立项程序规范性：根据决策依据编制工作计划和经费预算，经过与部门市政府分管领导进行沟通、筛选确定经费预算计划，上党委会研究确定最终预算方案。根据评分标准，该指标2.5分，得2.5分。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5.预算编制科学性：预算编制经过科学论证，内容与项目内容匹配，项目投资额与工作任务相匹配，根据评分标准，该指标3分，得3分。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6.资金分配合理性：本项目资金分配依据充分，资金分配额度合理，与项目地方实际相适应。根据评分标准，该指标2分，得2分。</w:t>
      </w:r>
    </w:p>
    <w:p w14:paraId="738CC9EA">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p>
    <w:p w14:paraId="51DE8F9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14:paraId="7984001D">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项目过程类指标包括资金管理和组织实施两方面的内容，由 5个三级指标构成，权重分值为 15 分，本项目实际得分15分，得分率为 100%。具体各项指标得分如下：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1.资金到位率：该项目所需财政资金能够足额拨付到位，牵头单位能够及时足额按照合同约定将专项资金拨付给单位，根据评分标准，该指标2分，得2分。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2.预算执行率：本项目预算编制较为详细，预算资金63.48万元，实际执行63.48万元，预算执行率为100%，项目资金支出总体能够按照预算执行，根据评分标准，该指标2分，得2分。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3.资金使用合规性：项目任务下达后，我单位制定了《项目资金管理办法》制度和管理规定对经费使用进行规范管理，财务制度健全、执行严格；根据评分标准，该指标3分，得3分。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4.管理制度健全性：我单位制定了《合同管理制度》等相关项目管理办法，同时对财政专项资金进行严格管理，基本做到了专款专用，根据评分标准，该指标4分，得4分。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由部门提出经费预算支出可行性方案，经过与市政府分管领导沟通后，报党委会议研究执行，财务对资金的使用合法合规性进行监督，年底对资金使用效果进行自评，根据评分标准，该指标4分，得4分。</w:t>
      </w:r>
    </w:p>
    <w:p w14:paraId="2FF99C4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14:paraId="3C609505">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项目产出类指标包括产出数量、产出质量、产出时效、产出成本共四方面的内容，由9个三级指标构成，权重分为40分，本项目实际得分40分，得分率为100%。具体各项指标得分如下：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1.产出数量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占用耕地、草地、农用地面积”指标，预期指标值为“大于等于76900㎡”，根据办理占用耕地手续通知书可知，实际完成占用耕地、草地、农用地面积76900㎡，与预期目标一致，根据评分标准，该指标5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“缴纳滞纳金笔数（笔）”指标，预期指标值为“等于1笔”，根据税收完税证明可知，实际完成缴纳滞纳金笔数1笔，与预期目标一致，根据评分标准，该指标5分，得5分。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2.产出质量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“资金支付完成时间”指标，预期指标值为“2023年12月20日前”；根据资金支付凭证显示，该项目资金已于2023年8月全部支付完毕，与预期目标指标一致，根据评分标准，该指标10分，得10分。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3.产出时效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支付及时率”指标，预期指标值为“等于100%”；根据资金支付凭证显示，该项目根据沙湾市自然资源局2023年009号通知，资金已于2023年8月全部支付完毕，与预期目标指标一致，根据评分标准，该指标5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“项目完成时限”指标，预期指标值为“2023年12月20日前”；根据资金支付凭证显示，该项目资金已于2023年8月全部支付完毕，与预期目标指标一致，根据评分标准，该指标5分，得5分。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4.产出成本</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济成本“占用耕地、草地、农用地金额”指标，预期指标值为“小于等于48.63万元”，根据完税证明和资金支付凭证显示，本项目2023年共计支付耕地占用税48.63万元，经费支出能够控制在年度计划成本范围内，根据评分标准，该指标5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经济成本“缴纳滞纳金金额（万元） ”指标，预期指标值为“小于等于14.85万元”，根据完税证明显示，本项目2023年共计支付缴纳滞纳金金额14.85万元，经费支出能够控制在年度计划成本范围内，根据评分标准，该指标5分，得5分。</w:t>
      </w:r>
    </w:p>
    <w:p w14:paraId="3ABCFAE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14:paraId="6B74222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14:paraId="48A2B121">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项目效益类指标由社会效益指标1个二级指标和1个三级指标构成，权重分为20分，本项目实际得分20分，得分率为20%。具体各项指标得分如下：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1.社会效益指标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“加快园区基础设施建设”指标，预期指标值为“有效加快”，根据本单位年度考核情况，实际完成值为“基本达成目标”，根据评分标准，该指标20分，得20分。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2.经济效益指标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本项目无该项指标。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本项目无该项指标。</w:t>
      </w:r>
    </w:p>
    <w:p w14:paraId="092D73D9">
      <w:pPr>
        <w:spacing w:line="540" w:lineRule="exact"/>
        <w:ind w:firstLine="567" w:firstLineChars="181"/>
        <w:rPr>
          <w:rFonts w:ascii="楷体" w:hAnsi="楷体" w:eastAsia="楷体"/>
          <w:b/>
          <w:spacing w:val="-4"/>
          <w:sz w:val="32"/>
          <w:szCs w:val="32"/>
        </w:rPr>
      </w:pPr>
    </w:p>
    <w:p w14:paraId="190371C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14:paraId="3E36CDBB">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“受益人群满意度”指标，预期指标值为“大于等于95%”，根据对搬入园区企业职工进行满意度问卷调查的结果可知，职工满意度达96%，根据评分标准，该指标10分,得10分。</w:t>
      </w:r>
    </w:p>
    <w:p w14:paraId="57D00B6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14:paraId="278A8CA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（一）预算执行进度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金沟河农产品深加工区沙温线改造工程项目耕地占用税项目预算金额63.48万元，实际到位63.48万元，全年项目实际支出63.48万元，预算执行率为100%。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（二）绩效指标偏差情况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2023年本单位负责实施的金沟河农产品深加工区沙温线改造工程项目耕地占用税项目的绩效目标及指标已经全部达成，不存在偏差情况</w:t>
      </w:r>
    </w:p>
    <w:p w14:paraId="6F19D4AD">
      <w:pPr>
        <w:spacing w:line="540" w:lineRule="exact"/>
        <w:ind w:firstLine="567" w:firstLineChars="181"/>
        <w:rPr>
          <w:rFonts w:ascii="楷体" w:hAnsi="楷体" w:eastAsia="楷体"/>
          <w:b/>
          <w:spacing w:val="-4"/>
          <w:sz w:val="32"/>
          <w:szCs w:val="32"/>
        </w:rPr>
      </w:pPr>
    </w:p>
    <w:p w14:paraId="4AF9DBC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14:paraId="3745A32B">
      <w:pPr>
        <w:ind w:firstLine="624" w:firstLineChars="200"/>
        <w:rPr>
          <w:rFonts w:ascii="仿宋_GB2312" w:eastAsia="仿宋_GB2312"/>
          <w:spacing w:val="-4"/>
          <w:sz w:val="32"/>
          <w:szCs w:val="32"/>
        </w:rPr>
      </w:pPr>
      <w:r>
        <w:rPr>
          <w:rFonts w:hint="eastAsia" w:ascii="仿宋_GB2312" w:eastAsia="仿宋_GB2312"/>
          <w:spacing w:val="-4"/>
          <w:sz w:val="32"/>
          <w:szCs w:val="32"/>
        </w:rPr>
        <w:t>包括评价基础数据收集、资料来源和依据等佐证材料情况，项目现场勘验检查核实等情况</w:t>
      </w:r>
    </w:p>
    <w:p w14:paraId="48E80246">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1.聚焦重点任务，推动项目工作落地落实</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2.坚持问题导向，加强执行监控，提高资金效益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w:t>
      </w:r>
      <w:r>
        <w:rPr>
          <w:rStyle w:val="18"/>
          <w:rFonts w:hint="eastAsia" w:ascii="楷体" w:hAnsi="楷体" w:eastAsia="楷体"/>
          <w:spacing w:val="-4"/>
          <w:sz w:val="32"/>
          <w:szCs w:val="32"/>
          <w:lang w:eastAsia="zh-CN"/>
        </w:rPr>
        <w:t>有效地</w:t>
      </w:r>
      <w:bookmarkStart w:id="0" w:name="_GoBack"/>
      <w:bookmarkEnd w:id="0"/>
      <w:r>
        <w:rPr>
          <w:rStyle w:val="18"/>
          <w:rFonts w:hint="eastAsia" w:ascii="楷体" w:hAnsi="楷体" w:eastAsia="楷体"/>
          <w:spacing w:val="-4"/>
          <w:sz w:val="32"/>
          <w:szCs w:val="32"/>
          <w:lang w:eastAsia="zh-CN"/>
        </w:rPr>
        <w:t>降低了资金偏离</w:t>
      </w:r>
      <w:r>
        <w:rPr>
          <w:rStyle w:val="18"/>
          <w:rFonts w:hint="eastAsia" w:ascii="楷体" w:hAnsi="楷体" w:eastAsia="楷体"/>
          <w:spacing w:val="-4"/>
          <w:sz w:val="32"/>
          <w:szCs w:val="32"/>
        </w:rPr>
        <w:t>政策目标的风险，提高了资金使用效益。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3.强化绩效目标刚性约束，及时对项目进行跟踪问效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1.绩效预算认识不够充分，绩效理念有待进一步强化</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2.绩效档案归档工作有待提高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3.项目支出绩效评价存在局限，客观性有待加强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04013BE1">
      <w:pPr>
        <w:ind w:firstLine="624" w:firstLineChars="200"/>
        <w:rPr>
          <w:rFonts w:ascii="仿宋_GB2312" w:eastAsia="仿宋_GB2312"/>
          <w:spacing w:val="-4"/>
          <w:sz w:val="32"/>
          <w:szCs w:val="32"/>
        </w:rPr>
      </w:pPr>
    </w:p>
    <w:p w14:paraId="2650B85A">
      <w:pPr>
        <w:spacing w:line="540" w:lineRule="exact"/>
        <w:ind w:firstLine="567"/>
        <w:rPr>
          <w:rStyle w:val="18"/>
          <w:rFonts w:ascii="仿宋" w:hAnsi="仿宋" w:eastAsia="仿宋"/>
          <w:b w:val="0"/>
          <w:spacing w:val="-4"/>
          <w:sz w:val="32"/>
          <w:szCs w:val="32"/>
        </w:rPr>
      </w:pPr>
    </w:p>
    <w:p w14:paraId="102D24CF">
      <w:pPr>
        <w:spacing w:line="540" w:lineRule="exact"/>
        <w:ind w:firstLine="567"/>
        <w:rPr>
          <w:rStyle w:val="18"/>
          <w:rFonts w:ascii="仿宋" w:hAnsi="仿宋" w:eastAsia="仿宋"/>
          <w:b w:val="0"/>
          <w:spacing w:val="-4"/>
          <w:sz w:val="32"/>
          <w:szCs w:val="32"/>
        </w:rPr>
      </w:pPr>
    </w:p>
    <w:p w14:paraId="44FCC271">
      <w:pPr>
        <w:spacing w:line="540" w:lineRule="exact"/>
        <w:ind w:firstLine="567"/>
        <w:rPr>
          <w:rStyle w:val="18"/>
          <w:rFonts w:ascii="仿宋" w:hAnsi="仿宋" w:eastAsia="仿宋"/>
          <w:b w:val="0"/>
          <w:spacing w:val="-4"/>
          <w:sz w:val="32"/>
          <w:szCs w:val="32"/>
        </w:rPr>
      </w:pPr>
    </w:p>
    <w:p w14:paraId="44542F13">
      <w:pPr>
        <w:spacing w:line="540" w:lineRule="exact"/>
        <w:ind w:firstLine="567"/>
        <w:rPr>
          <w:rStyle w:val="18"/>
          <w:rFonts w:ascii="仿宋" w:hAnsi="仿宋" w:eastAsia="仿宋"/>
          <w:b w:val="0"/>
          <w:spacing w:val="-4"/>
          <w:sz w:val="32"/>
          <w:szCs w:val="32"/>
        </w:rPr>
      </w:pPr>
    </w:p>
    <w:p w14:paraId="2A1BBF83">
      <w:pPr>
        <w:spacing w:line="540" w:lineRule="exact"/>
        <w:ind w:firstLine="567"/>
        <w:rPr>
          <w:rStyle w:val="18"/>
          <w:rFonts w:ascii="仿宋" w:hAnsi="仿宋" w:eastAsia="仿宋"/>
          <w:b w:val="0"/>
          <w:spacing w:val="-4"/>
          <w:sz w:val="32"/>
          <w:szCs w:val="32"/>
        </w:rPr>
      </w:pPr>
    </w:p>
    <w:p w14:paraId="458CE353">
      <w:pPr>
        <w:spacing w:line="540" w:lineRule="exact"/>
        <w:ind w:firstLine="567"/>
        <w:rPr>
          <w:rStyle w:val="18"/>
          <w:rFonts w:ascii="仿宋" w:hAnsi="仿宋" w:eastAsia="仿宋"/>
          <w:b w:val="0"/>
          <w:spacing w:val="-4"/>
          <w:sz w:val="32"/>
          <w:szCs w:val="32"/>
        </w:rPr>
      </w:pPr>
    </w:p>
    <w:p w14:paraId="7C715E57">
      <w:pPr>
        <w:spacing w:line="540" w:lineRule="exact"/>
        <w:ind w:firstLine="567"/>
        <w:rPr>
          <w:rStyle w:val="18"/>
          <w:rFonts w:ascii="仿宋" w:hAnsi="仿宋" w:eastAsia="仿宋"/>
          <w:b w:val="0"/>
          <w:spacing w:val="-4"/>
          <w:sz w:val="32"/>
          <w:szCs w:val="32"/>
        </w:rPr>
      </w:pPr>
    </w:p>
    <w:p w14:paraId="2572A0F0">
      <w:pPr>
        <w:spacing w:line="540" w:lineRule="exact"/>
        <w:ind w:firstLine="567"/>
        <w:rPr>
          <w:rStyle w:val="18"/>
          <w:rFonts w:ascii="仿宋" w:hAnsi="仿宋" w:eastAsia="仿宋"/>
          <w:b w:val="0"/>
          <w:spacing w:val="-4"/>
          <w:sz w:val="32"/>
          <w:szCs w:val="32"/>
        </w:rPr>
      </w:pPr>
    </w:p>
    <w:p w14:paraId="3BDB778E">
      <w:pPr>
        <w:spacing w:line="540" w:lineRule="exact"/>
        <w:ind w:firstLine="567"/>
        <w:rPr>
          <w:rStyle w:val="18"/>
          <w:rFonts w:ascii="仿宋" w:hAnsi="仿宋" w:eastAsia="仿宋"/>
          <w:b w:val="0"/>
          <w:spacing w:val="-4"/>
          <w:sz w:val="32"/>
          <w:szCs w:val="32"/>
        </w:rPr>
      </w:pPr>
    </w:p>
    <w:p w14:paraId="4F9859C0">
      <w:pPr>
        <w:spacing w:line="540" w:lineRule="exact"/>
        <w:ind w:firstLine="567"/>
        <w:rPr>
          <w:rStyle w:val="18"/>
          <w:rFonts w:ascii="仿宋" w:hAnsi="仿宋" w:eastAsia="仿宋"/>
          <w:b w:val="0"/>
          <w:spacing w:val="-4"/>
          <w:sz w:val="32"/>
          <w:szCs w:val="32"/>
        </w:rPr>
      </w:pPr>
    </w:p>
    <w:p w14:paraId="2590E135">
      <w:pPr>
        <w:spacing w:line="540" w:lineRule="exact"/>
        <w:ind w:firstLine="567"/>
        <w:rPr>
          <w:rStyle w:val="18"/>
          <w:rFonts w:ascii="仿宋" w:hAnsi="仿宋" w:eastAsia="仿宋"/>
          <w:b w:val="0"/>
          <w:spacing w:val="-4"/>
          <w:sz w:val="32"/>
          <w:szCs w:val="32"/>
        </w:rPr>
      </w:pPr>
    </w:p>
    <w:p w14:paraId="7AF4F05E">
      <w:pPr>
        <w:spacing w:line="540" w:lineRule="exact"/>
        <w:ind w:firstLine="567"/>
        <w:rPr>
          <w:rStyle w:val="18"/>
          <w:rFonts w:ascii="仿宋" w:hAnsi="仿宋" w:eastAsia="仿宋"/>
          <w:b w:val="0"/>
          <w:spacing w:val="-4"/>
          <w:sz w:val="32"/>
          <w:szCs w:val="32"/>
        </w:rPr>
      </w:pPr>
    </w:p>
    <w:p w14:paraId="0E821F16">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696FB5A7">
        <w:pPr>
          <w:pStyle w:val="12"/>
          <w:jc w:val="center"/>
        </w:pPr>
        <w:r>
          <w:fldChar w:fldCharType="begin"/>
        </w:r>
        <w:r>
          <w:instrText xml:space="preserve">PAGE   \* MERGEFORMAT</w:instrText>
        </w:r>
        <w:r>
          <w:fldChar w:fldCharType="separate"/>
        </w:r>
        <w:r>
          <w:rPr>
            <w:lang w:val="zh-CN"/>
          </w:rPr>
          <w:t>1</w:t>
        </w:r>
        <w:r>
          <w:fldChar w:fldCharType="end"/>
        </w:r>
      </w:p>
    </w:sdtContent>
  </w:sdt>
  <w:p w14:paraId="1FE5BBCD">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mE1ZjY5MTFjMDc4YjFjZTUwN2JkNWZlMDFjZGZiMWMifQ=="/>
  </w:docVars>
  <w:rsids>
    <w:rsidRoot w:val="00CA6457"/>
    <w:rsid w:val="00056465"/>
    <w:rsid w:val="0009781F"/>
    <w:rsid w:val="00102DFF"/>
    <w:rsid w:val="00121AE4"/>
    <w:rsid w:val="00146AAD"/>
    <w:rsid w:val="001B3A40"/>
    <w:rsid w:val="00291BC0"/>
    <w:rsid w:val="00311DBE"/>
    <w:rsid w:val="004366A8"/>
    <w:rsid w:val="00502BA7"/>
    <w:rsid w:val="005162F1"/>
    <w:rsid w:val="00535153"/>
    <w:rsid w:val="00554F82"/>
    <w:rsid w:val="0056390D"/>
    <w:rsid w:val="005719B0"/>
    <w:rsid w:val="005D10D6"/>
    <w:rsid w:val="00640E77"/>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821BD"/>
    <w:rsid w:val="00CA6457"/>
    <w:rsid w:val="00CE2FD9"/>
    <w:rsid w:val="00D17F2E"/>
    <w:rsid w:val="00D30354"/>
    <w:rsid w:val="00DF42A0"/>
    <w:rsid w:val="00E30E91"/>
    <w:rsid w:val="00E769FE"/>
    <w:rsid w:val="00EA2CBE"/>
    <w:rsid w:val="00F32FEE"/>
    <w:rsid w:val="00FB10BB"/>
    <w:rsid w:val="4D2606A1"/>
    <w:rsid w:val="7B11648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ITSK.com</Company>
  <Pages>16</Pages>
  <Words>7576</Words>
  <Characters>7926</Characters>
  <Lines>57</Lines>
  <Paragraphs>16</Paragraphs>
  <TotalTime>8</TotalTime>
  <ScaleCrop>false</ScaleCrop>
  <LinksUpToDate>false</LinksUpToDate>
  <CharactersWithSpaces>7938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2024-09-26T10:44:00Z</dcterms:created>
  <dc:creator>赵 恺（预算处）</dc:creator>
  <cp:lastModifiedBy>放任时光飞逝</cp:lastModifiedBy>
  <cp:lastPrinted>2018-12-31T10:56:00Z</cp:lastPrinted>
  <dcterms:modified xsi:type="dcterms:W3CDTF">2024-11-08T11:27:08Z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F3ADA20745FF4174AA66F0EB5A0A8936_12</vt:lpwstr>
  </property>
</Properties>
</file>